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5D" w:rsidRPr="0047505E" w:rsidRDefault="0047505E" w:rsidP="002856A4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47505E">
        <w:rPr>
          <w:rFonts w:ascii="Times New Roman" w:hAnsi="Times New Roman"/>
          <w:sz w:val="28"/>
          <w:szCs w:val="28"/>
        </w:rPr>
        <w:t>п</w:t>
      </w:r>
      <w:r w:rsidR="0042185D" w:rsidRPr="0047505E">
        <w:rPr>
          <w:rFonts w:ascii="Times New Roman" w:hAnsi="Times New Roman"/>
          <w:sz w:val="28"/>
          <w:szCs w:val="28"/>
        </w:rPr>
        <w:t>роект</w:t>
      </w:r>
    </w:p>
    <w:p w:rsidR="000D2DF4" w:rsidRDefault="0047505E" w:rsidP="002856A4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2DF4">
        <w:rPr>
          <w:rFonts w:ascii="Times New Roman" w:hAnsi="Times New Roman"/>
          <w:sz w:val="28"/>
          <w:szCs w:val="28"/>
        </w:rPr>
        <w:t>носится</w:t>
      </w:r>
    </w:p>
    <w:p w:rsidR="000D2DF4" w:rsidRPr="007F3AC7" w:rsidRDefault="000D2DF4" w:rsidP="002856A4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</w:t>
      </w:r>
      <w:r w:rsidR="0047505E">
        <w:rPr>
          <w:rFonts w:ascii="Times New Roman" w:hAnsi="Times New Roman"/>
          <w:sz w:val="28"/>
          <w:szCs w:val="28"/>
        </w:rPr>
        <w:t xml:space="preserve"> Государственной Думы </w:t>
      </w:r>
      <w:proofErr w:type="spellStart"/>
      <w:r w:rsidR="0047505E">
        <w:rPr>
          <w:rFonts w:ascii="Times New Roman" w:hAnsi="Times New Roman"/>
          <w:sz w:val="28"/>
          <w:szCs w:val="28"/>
        </w:rPr>
        <w:t>А.Г</w:t>
      </w:r>
      <w:proofErr w:type="spellEnd"/>
      <w:r w:rsidR="0047505E">
        <w:rPr>
          <w:rFonts w:ascii="Times New Roman" w:hAnsi="Times New Roman"/>
          <w:sz w:val="28"/>
          <w:szCs w:val="28"/>
        </w:rPr>
        <w:t xml:space="preserve">. Аксаковым, </w:t>
      </w:r>
      <w:proofErr w:type="spellStart"/>
      <w:r w:rsidR="0047505E">
        <w:rPr>
          <w:rFonts w:ascii="Times New Roman" w:hAnsi="Times New Roman"/>
          <w:sz w:val="28"/>
          <w:szCs w:val="28"/>
        </w:rPr>
        <w:t>И.Б</w:t>
      </w:r>
      <w:proofErr w:type="spellEnd"/>
      <w:r w:rsidR="004750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505E">
        <w:rPr>
          <w:rFonts w:ascii="Times New Roman" w:hAnsi="Times New Roman"/>
          <w:sz w:val="28"/>
          <w:szCs w:val="28"/>
        </w:rPr>
        <w:t>Дивинским</w:t>
      </w:r>
      <w:proofErr w:type="spellEnd"/>
      <w:r w:rsidR="00475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505E">
        <w:rPr>
          <w:rFonts w:ascii="Times New Roman" w:hAnsi="Times New Roman"/>
          <w:sz w:val="28"/>
          <w:szCs w:val="28"/>
        </w:rPr>
        <w:t>О.А</w:t>
      </w:r>
      <w:proofErr w:type="spellEnd"/>
      <w:r w:rsidR="0047505E">
        <w:rPr>
          <w:rFonts w:ascii="Times New Roman" w:hAnsi="Times New Roman"/>
          <w:sz w:val="28"/>
          <w:szCs w:val="28"/>
        </w:rPr>
        <w:t>. Николаевым</w:t>
      </w:r>
      <w:r w:rsidR="00883842">
        <w:rPr>
          <w:rFonts w:ascii="Times New Roman" w:hAnsi="Times New Roman"/>
          <w:sz w:val="28"/>
          <w:szCs w:val="28"/>
        </w:rPr>
        <w:t xml:space="preserve">, членом Совета Федерации </w:t>
      </w:r>
      <w:proofErr w:type="spellStart"/>
      <w:r w:rsidR="00883842">
        <w:rPr>
          <w:rFonts w:ascii="Times New Roman" w:hAnsi="Times New Roman"/>
          <w:sz w:val="28"/>
          <w:szCs w:val="28"/>
        </w:rPr>
        <w:t>Н.А.Журавлевым</w:t>
      </w:r>
      <w:proofErr w:type="spellEnd"/>
    </w:p>
    <w:p w:rsidR="0042185D" w:rsidRPr="007F3AC7" w:rsidRDefault="0042185D" w:rsidP="00285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05E" w:rsidRDefault="0047505E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>О цифровых финансовых активах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85D" w:rsidRPr="007F3AC7" w:rsidRDefault="0042185D" w:rsidP="00CB7F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>Статья 1. Предмет регулирования и сфера действия настоящего Федерального закона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1. Настоящим Федеральным законом регулируются отношения, возникающие при создании, выпуске, хранении и обращении цифровых финансовых активов, а также осуществлении прав и исполнении </w:t>
      </w:r>
      <w:r w:rsidR="007915E7" w:rsidRPr="007F3AC7">
        <w:rPr>
          <w:rFonts w:ascii="Times New Roman" w:hAnsi="Times New Roman"/>
          <w:sz w:val="28"/>
          <w:szCs w:val="28"/>
        </w:rPr>
        <w:t>обязанностей</w:t>
      </w:r>
      <w:r w:rsidRPr="007F3AC7">
        <w:rPr>
          <w:rFonts w:ascii="Times New Roman" w:hAnsi="Times New Roman"/>
          <w:sz w:val="28"/>
          <w:szCs w:val="28"/>
        </w:rPr>
        <w:t xml:space="preserve"> по смарт-контрактам.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>Статья 2. Основные понятия, используемые в настоящем Федеральном законе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Для целей настоящего Федерального закона используются следующие </w:t>
      </w:r>
      <w:r w:rsidRPr="007F3AC7">
        <w:rPr>
          <w:rFonts w:ascii="Times New Roman" w:hAnsi="Times New Roman"/>
          <w:sz w:val="28"/>
          <w:szCs w:val="28"/>
        </w:rPr>
        <w:lastRenderedPageBreak/>
        <w:t>основные понятия: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r w:rsidRPr="007F3AC7">
        <w:rPr>
          <w:rFonts w:ascii="Times New Roman" w:hAnsi="Times New Roman"/>
          <w:sz w:val="28"/>
          <w:szCs w:val="28"/>
        </w:rPr>
        <w:t>Цифровой финансовый актив – имущество в электронной форме, созданное с использованием криптографических средств. Прав</w:t>
      </w:r>
      <w:r w:rsidR="007915E7" w:rsidRPr="007F3AC7">
        <w:rPr>
          <w:rFonts w:ascii="Times New Roman" w:hAnsi="Times New Roman"/>
          <w:sz w:val="28"/>
          <w:szCs w:val="28"/>
        </w:rPr>
        <w:t>о</w:t>
      </w:r>
      <w:r w:rsidRPr="007F3AC7">
        <w:rPr>
          <w:rFonts w:ascii="Times New Roman" w:hAnsi="Times New Roman"/>
          <w:sz w:val="28"/>
          <w:szCs w:val="28"/>
        </w:rPr>
        <w:t xml:space="preserve"> собственности на данное имущество удостоверя</w:t>
      </w:r>
      <w:r w:rsidR="007915E7" w:rsidRPr="007F3AC7">
        <w:rPr>
          <w:rFonts w:ascii="Times New Roman" w:hAnsi="Times New Roman"/>
          <w:sz w:val="28"/>
          <w:szCs w:val="28"/>
        </w:rPr>
        <w:t>е</w:t>
      </w:r>
      <w:r w:rsidRPr="007F3AC7">
        <w:rPr>
          <w:rFonts w:ascii="Times New Roman" w:hAnsi="Times New Roman"/>
          <w:sz w:val="28"/>
          <w:szCs w:val="28"/>
        </w:rPr>
        <w:t>тся путем внесения цифровых записей в реестр цифровых транзакций.</w:t>
      </w:r>
      <w:r w:rsidRPr="007F3AC7">
        <w:rPr>
          <w:rFonts w:ascii="Calibri" w:hAnsi="Calibri" w:cs="Calibri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 xml:space="preserve">К цифровым финансовым активам относятся </w:t>
      </w:r>
      <w:proofErr w:type="spellStart"/>
      <w:r w:rsidRPr="007F3AC7">
        <w:rPr>
          <w:rFonts w:ascii="Times New Roman" w:hAnsi="Times New Roman"/>
          <w:sz w:val="28"/>
          <w:szCs w:val="28"/>
        </w:rPr>
        <w:t>криптовалюта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</w:t>
      </w:r>
      <w:proofErr w:type="spellEnd"/>
      <w:r w:rsidRPr="007F3AC7">
        <w:rPr>
          <w:rFonts w:ascii="Times New Roman" w:hAnsi="Times New Roman"/>
          <w:sz w:val="28"/>
          <w:szCs w:val="28"/>
        </w:rPr>
        <w:t>. Цифровые финансовые активы не являются законным средством платежа на территории Российской Федерации.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Цифровая транзакция – действие или последовательность действий, направленных на создание, выпуск, обращение цифровых финансовых активов.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Цифровая запись – информация о цифровых финансовых активах, зафиксированная в реестре цифровых транзакций. 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Реестр цифровых транзакций – формируемая на определенный момент времени систематизированная база цифровых записей. 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Распределенный реестр цифровых транзакций – формируемая на определенный момент времени систематизированная база цифровых транзакций, которые хранятся, одновременно создаются и обновляются на всех носителях у всех участников реестра</w:t>
      </w:r>
      <w:r w:rsidRPr="007F3AC7">
        <w:rPr>
          <w:rFonts w:ascii="Calibri" w:hAnsi="Calibri" w:cs="Calibri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 xml:space="preserve">на основе заданных алгоритмов, обеспечивающих ее тождественность у всех пользователей реестра. 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Участники реестра цифровых транзакций – лица, осуществляющие цифровые транзакции в соответствии с правилами ведения реестра цифровых транзакций.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AC7">
        <w:rPr>
          <w:rFonts w:ascii="Times New Roman" w:hAnsi="Times New Roman"/>
          <w:sz w:val="28"/>
          <w:szCs w:val="28"/>
        </w:rPr>
        <w:t>Валидатор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– юридическое или физическое лицо, являющееся участником реестра цифровых транзакций и осуществляющее деятельность по </w:t>
      </w:r>
      <w:proofErr w:type="spellStart"/>
      <w:r w:rsidRPr="007F3AC7">
        <w:rPr>
          <w:rFonts w:ascii="Times New Roman" w:hAnsi="Times New Roman"/>
          <w:sz w:val="28"/>
          <w:szCs w:val="28"/>
        </w:rPr>
        <w:t>валидации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цифровых записей в реестре цифровых транзакций в </w:t>
      </w:r>
      <w:r w:rsidRPr="007F3AC7">
        <w:rPr>
          <w:rFonts w:ascii="Times New Roman" w:hAnsi="Times New Roman"/>
          <w:sz w:val="28"/>
          <w:szCs w:val="28"/>
        </w:rPr>
        <w:lastRenderedPageBreak/>
        <w:t>соответствии с правилами ведения реестра цифровых транзакций.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Оператор обмена цифровых финансовых активов – юридическое лицо, </w:t>
      </w:r>
      <w:r w:rsidR="00E24DAD" w:rsidRPr="007F3AC7">
        <w:rPr>
          <w:rFonts w:ascii="Times New Roman" w:hAnsi="Times New Roman"/>
          <w:sz w:val="28"/>
          <w:szCs w:val="28"/>
        </w:rPr>
        <w:t>совершающее</w:t>
      </w:r>
      <w:r w:rsidR="00E24DAD" w:rsidRPr="007F3AC7">
        <w:rPr>
          <w:rFonts w:ascii="Times New Roman" w:hAnsi="Times New Roman"/>
          <w:sz w:val="28"/>
        </w:rPr>
        <w:t xml:space="preserve"> сделки по обмену </w:t>
      </w:r>
      <w:proofErr w:type="spellStart"/>
      <w:r w:rsidR="00E24DAD" w:rsidRPr="007F3AC7">
        <w:rPr>
          <w:rFonts w:ascii="Times New Roman" w:hAnsi="Times New Roman"/>
          <w:sz w:val="28"/>
        </w:rPr>
        <w:t>токенов</w:t>
      </w:r>
      <w:proofErr w:type="spellEnd"/>
      <w:r w:rsidR="00E24DAD" w:rsidRPr="007F3AC7">
        <w:rPr>
          <w:rFonts w:ascii="Times New Roman" w:hAnsi="Times New Roman"/>
          <w:sz w:val="28"/>
        </w:rPr>
        <w:t xml:space="preserve"> на рубли или иностранную валюту</w:t>
      </w:r>
      <w:r w:rsidR="00587015" w:rsidRPr="007F3AC7">
        <w:rPr>
          <w:rFonts w:ascii="Times New Roman" w:hAnsi="Times New Roman"/>
          <w:sz w:val="28"/>
        </w:rPr>
        <w:t>.</w:t>
      </w:r>
      <w:r w:rsidR="00587015" w:rsidRPr="007F3AC7">
        <w:rPr>
          <w:rFonts w:ascii="Times New Roman" w:hAnsi="Times New Roman"/>
          <w:strike/>
          <w:sz w:val="28"/>
        </w:rPr>
        <w:t xml:space="preserve"> </w:t>
      </w:r>
      <w:proofErr w:type="gramStart"/>
      <w:r w:rsidRPr="007F3AC7">
        <w:rPr>
          <w:rFonts w:ascii="Times New Roman" w:hAnsi="Times New Roman"/>
          <w:sz w:val="28"/>
          <w:szCs w:val="28"/>
        </w:rPr>
        <w:t xml:space="preserve">Операторами обмена цифровых финансовых активов могут быть только юридические лица, которые созданы в соответствии с законодательством Российской Федерации и осуществляют виды деятельности, указанные в статьях </w:t>
      </w:r>
      <w:r w:rsidRPr="007F3AC7">
        <w:rPr>
          <w:rFonts w:ascii="Times New Roman" w:hAnsi="Times New Roman"/>
          <w:sz w:val="28"/>
        </w:rPr>
        <w:t>3</w:t>
      </w:r>
      <w:r w:rsidR="00A91F15" w:rsidRPr="007F3AC7">
        <w:rPr>
          <w:rFonts w:ascii="Times New Roman" w:hAnsi="Times New Roman"/>
          <w:sz w:val="28"/>
          <w:szCs w:val="28"/>
        </w:rPr>
        <w:t>,4,</w:t>
      </w:r>
      <w:r w:rsidRPr="007F3AC7">
        <w:rPr>
          <w:rFonts w:ascii="Times New Roman" w:hAnsi="Times New Roman"/>
          <w:sz w:val="28"/>
        </w:rPr>
        <w:t>5</w:t>
      </w:r>
      <w:r w:rsidRPr="007F3AC7">
        <w:rPr>
          <w:rFonts w:ascii="Times New Roman" w:hAnsi="Times New Roman"/>
          <w:sz w:val="28"/>
          <w:szCs w:val="28"/>
        </w:rPr>
        <w:t xml:space="preserve"> Федерального закона от</w:t>
      </w:r>
      <w:r w:rsidR="00084151"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>22 апреля 1996 г. № 39-ФЗ «О рынке ценных бумаг»</w:t>
      </w:r>
      <w:r w:rsidR="007915E7" w:rsidRPr="007F3AC7">
        <w:rPr>
          <w:rFonts w:ascii="Times New Roman" w:hAnsi="Times New Roman"/>
          <w:sz w:val="28"/>
          <w:szCs w:val="28"/>
        </w:rPr>
        <w:t xml:space="preserve"> (далее – Федеральный закон «О рынке ценных бумаг»)</w:t>
      </w:r>
      <w:r w:rsidRPr="007F3AC7">
        <w:rPr>
          <w:rFonts w:ascii="Times New Roman" w:hAnsi="Times New Roman"/>
          <w:sz w:val="28"/>
          <w:szCs w:val="28"/>
        </w:rPr>
        <w:t>, или юридические лица, являющиеся организаторами торговли в соответствии с Федеральным законом от 21 ноября 2011</w:t>
      </w:r>
      <w:proofErr w:type="gramEnd"/>
      <w:r w:rsidRPr="007F3AC7">
        <w:rPr>
          <w:rFonts w:ascii="Times New Roman" w:hAnsi="Times New Roman"/>
          <w:sz w:val="28"/>
          <w:szCs w:val="28"/>
        </w:rPr>
        <w:t xml:space="preserve"> г.  № 325-ФЗ «Об организованных торгах»</w:t>
      </w:r>
      <w:r w:rsidR="007915E7" w:rsidRPr="007F3AC7">
        <w:rPr>
          <w:rFonts w:ascii="Times New Roman" w:hAnsi="Times New Roman"/>
          <w:sz w:val="28"/>
          <w:szCs w:val="28"/>
        </w:rPr>
        <w:t xml:space="preserve"> (далее – Федеральный закон «Об организованных торгах»)</w:t>
      </w:r>
      <w:r w:rsidRPr="007F3AC7">
        <w:rPr>
          <w:rFonts w:ascii="Times New Roman" w:hAnsi="Times New Roman"/>
          <w:sz w:val="28"/>
          <w:szCs w:val="28"/>
        </w:rPr>
        <w:t>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AC7">
        <w:rPr>
          <w:rFonts w:ascii="Times New Roman" w:hAnsi="Times New Roman"/>
          <w:sz w:val="28"/>
          <w:szCs w:val="28"/>
        </w:rPr>
        <w:t>Валидация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цифровой записи – юридически значимое действие по подтверждению действительности цифровых записей в реестре цифровых транзакций, осуществляемое в порядке, установленном правилами ведения реестра цифровых транзакций.</w:t>
      </w:r>
    </w:p>
    <w:p w:rsidR="00716996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AC7">
        <w:rPr>
          <w:rFonts w:ascii="Times New Roman" w:hAnsi="Times New Roman"/>
          <w:sz w:val="28"/>
          <w:szCs w:val="28"/>
        </w:rPr>
        <w:t>Майнинг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–</w:t>
      </w:r>
      <w:r w:rsidR="00F353FA"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 xml:space="preserve">деятельность, направленная на создание </w:t>
      </w:r>
      <w:proofErr w:type="spellStart"/>
      <w:r w:rsidRPr="007F3AC7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7F3AC7">
        <w:rPr>
          <w:rFonts w:ascii="Times New Roman" w:hAnsi="Times New Roman"/>
          <w:sz w:val="28"/>
          <w:szCs w:val="28"/>
        </w:rPr>
        <w:t>валидацию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с целью получения вознаграждения в виде </w:t>
      </w:r>
      <w:proofErr w:type="spellStart"/>
      <w:r w:rsidRPr="007F3AC7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7F3AC7">
        <w:rPr>
          <w:rFonts w:ascii="Times New Roman" w:hAnsi="Times New Roman"/>
          <w:sz w:val="28"/>
          <w:szCs w:val="28"/>
        </w:rPr>
        <w:t>.</w:t>
      </w:r>
      <w:r w:rsidR="00F353FA" w:rsidRPr="007F3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3FA" w:rsidRPr="007F3AC7">
        <w:rPr>
          <w:rFonts w:ascii="Times New Roman" w:hAnsi="Times New Roman"/>
          <w:sz w:val="28"/>
          <w:szCs w:val="28"/>
        </w:rPr>
        <w:t>Майнинг</w:t>
      </w:r>
      <w:proofErr w:type="spellEnd"/>
      <w:r w:rsidR="00F353FA" w:rsidRPr="007F3AC7">
        <w:rPr>
          <w:rFonts w:ascii="Times New Roman" w:hAnsi="Times New Roman"/>
          <w:sz w:val="28"/>
          <w:szCs w:val="28"/>
        </w:rPr>
        <w:t xml:space="preserve"> </w:t>
      </w:r>
      <w:r w:rsidR="00551D06" w:rsidRPr="007F3AC7">
        <w:rPr>
          <w:rFonts w:ascii="Times New Roman" w:hAnsi="Times New Roman"/>
          <w:sz w:val="28"/>
          <w:szCs w:val="28"/>
        </w:rPr>
        <w:t xml:space="preserve">признается </w:t>
      </w:r>
      <w:r w:rsidR="00F353FA" w:rsidRPr="007F3AC7">
        <w:rPr>
          <w:rFonts w:ascii="Times New Roman" w:hAnsi="Times New Roman"/>
          <w:sz w:val="28"/>
          <w:szCs w:val="28"/>
        </w:rPr>
        <w:t xml:space="preserve">предпринимательской деятельностью в случае, </w:t>
      </w:r>
      <w:r w:rsidR="00551D06" w:rsidRPr="007F3AC7">
        <w:rPr>
          <w:rFonts w:ascii="Times New Roman" w:hAnsi="Times New Roman"/>
          <w:sz w:val="28"/>
          <w:szCs w:val="28"/>
        </w:rPr>
        <w:t xml:space="preserve">когда </w:t>
      </w:r>
      <w:r w:rsidR="00F353FA" w:rsidRPr="007F3AC7">
        <w:rPr>
          <w:rFonts w:ascii="Times New Roman" w:hAnsi="Times New Roman"/>
          <w:sz w:val="28"/>
          <w:szCs w:val="28"/>
        </w:rPr>
        <w:t>лицо, которое его осуществляет</w:t>
      </w:r>
      <w:r w:rsidR="00551D06" w:rsidRPr="007F3AC7">
        <w:rPr>
          <w:rFonts w:ascii="Times New Roman" w:hAnsi="Times New Roman"/>
          <w:sz w:val="28"/>
          <w:szCs w:val="28"/>
        </w:rPr>
        <w:t>,</w:t>
      </w:r>
      <w:r w:rsidR="00F353FA" w:rsidRPr="007F3AC7">
        <w:rPr>
          <w:rFonts w:ascii="Times New Roman" w:hAnsi="Times New Roman"/>
          <w:sz w:val="28"/>
          <w:szCs w:val="28"/>
        </w:rPr>
        <w:t xml:space="preserve"> </w:t>
      </w:r>
      <w:r w:rsidR="0069755F">
        <w:rPr>
          <w:rFonts w:ascii="Times New Roman" w:hAnsi="Times New Roman"/>
          <w:sz w:val="28"/>
          <w:szCs w:val="28"/>
        </w:rPr>
        <w:t>в течение</w:t>
      </w:r>
      <w:r w:rsidR="00551D06" w:rsidRPr="007F3AC7">
        <w:rPr>
          <w:rFonts w:ascii="Times New Roman" w:hAnsi="Times New Roman"/>
          <w:sz w:val="28"/>
          <w:szCs w:val="28"/>
        </w:rPr>
        <w:t xml:space="preserve"> трех месяцев подряд превышает</w:t>
      </w:r>
      <w:r w:rsidR="00F353FA" w:rsidRPr="007F3AC7">
        <w:rPr>
          <w:rFonts w:ascii="Times New Roman" w:hAnsi="Times New Roman"/>
          <w:sz w:val="28"/>
          <w:szCs w:val="28"/>
        </w:rPr>
        <w:t xml:space="preserve"> лимиты энергопотребления, установленные Правительством Российской Федерации.</w:t>
      </w:r>
      <w:r w:rsidR="00587015" w:rsidRPr="007F3AC7">
        <w:rPr>
          <w:rFonts w:ascii="Times New Roman" w:hAnsi="Times New Roman"/>
          <w:sz w:val="28"/>
          <w:szCs w:val="28"/>
        </w:rPr>
        <w:t xml:space="preserve"> 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7F3AC7">
        <w:rPr>
          <w:rFonts w:ascii="Times New Roman" w:hAnsi="Times New Roman"/>
          <w:sz w:val="28"/>
          <w:szCs w:val="28"/>
        </w:rPr>
        <w:t>Криптовалюта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– вид цифрового финансового актива, создаваемый и учитываемый в распределенном реестре цифровых транзакций участниками этого реестра в соответствии с правилами ведения реестра цифровых транзакций. 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7F3AC7">
        <w:rPr>
          <w:rFonts w:ascii="Times New Roman" w:hAnsi="Times New Roman"/>
          <w:sz w:val="28"/>
          <w:szCs w:val="28"/>
        </w:rPr>
        <w:t>Токен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– вид цифрового финансового актива, который выпускается </w:t>
      </w:r>
      <w:r w:rsidRPr="007F3AC7">
        <w:rPr>
          <w:rFonts w:ascii="Times New Roman" w:hAnsi="Times New Roman"/>
          <w:sz w:val="28"/>
          <w:szCs w:val="28"/>
        </w:rPr>
        <w:lastRenderedPageBreak/>
        <w:t>юридическим лицом или индивидуальным предпринимателем (далее – эмитент) с целью привлечения финансирования и учитывается в реестре цифровых транзакций.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Смарт-контракт – договор в электронной форме, исполнение прав и </w:t>
      </w:r>
      <w:proofErr w:type="gramStart"/>
      <w:r w:rsidRPr="007F3AC7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Pr="007F3AC7">
        <w:rPr>
          <w:rFonts w:ascii="Times New Roman" w:hAnsi="Times New Roman"/>
          <w:sz w:val="28"/>
          <w:szCs w:val="28"/>
        </w:rPr>
        <w:t xml:space="preserve"> по которому осуществляется путем совершения в автоматическом порядке цифровых транзакций в распределенном реестре цифровых транзакций в строго определенной </w:t>
      </w:r>
      <w:r w:rsidR="00C764F4" w:rsidRPr="007F3AC7">
        <w:rPr>
          <w:rFonts w:ascii="Times New Roman" w:hAnsi="Times New Roman"/>
          <w:sz w:val="28"/>
          <w:szCs w:val="28"/>
        </w:rPr>
        <w:t>таким договором</w:t>
      </w:r>
      <w:r w:rsidRPr="007F3AC7">
        <w:rPr>
          <w:rFonts w:ascii="Times New Roman" w:hAnsi="Times New Roman"/>
          <w:sz w:val="28"/>
          <w:szCs w:val="28"/>
        </w:rPr>
        <w:t xml:space="preserve"> последовательности и при наступлении определенных им обстоятельств. </w:t>
      </w:r>
    </w:p>
    <w:p w:rsidR="007A736E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Цифровой кошелек </w:t>
      </w:r>
      <w:r w:rsidR="00395065" w:rsidRPr="007F3AC7">
        <w:rPr>
          <w:rFonts w:ascii="Times New Roman" w:hAnsi="Times New Roman"/>
          <w:sz w:val="28"/>
          <w:szCs w:val="28"/>
        </w:rPr>
        <w:t xml:space="preserve">– </w:t>
      </w:r>
      <w:r w:rsidRPr="007F3AC7">
        <w:rPr>
          <w:rFonts w:ascii="Times New Roman" w:hAnsi="Times New Roman"/>
          <w:sz w:val="28"/>
          <w:szCs w:val="28"/>
        </w:rPr>
        <w:t>программно-техническое средство, которое позволяет</w:t>
      </w:r>
      <w:r w:rsidRPr="007F3AC7">
        <w:rPr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 xml:space="preserve">хранить информацию о цифровых записях. Цифровой кошелек может обеспечивать доступ к реестру цифровых транзакций. 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 xml:space="preserve">Статья 3. Особенности выпуска </w:t>
      </w:r>
      <w:proofErr w:type="spellStart"/>
      <w:r w:rsidRPr="007F3AC7">
        <w:rPr>
          <w:rFonts w:ascii="Times New Roman" w:hAnsi="Times New Roman"/>
          <w:b/>
          <w:bCs/>
          <w:sz w:val="28"/>
          <w:szCs w:val="28"/>
        </w:rPr>
        <w:t>токенов</w:t>
      </w:r>
      <w:proofErr w:type="spellEnd"/>
    </w:p>
    <w:p w:rsidR="0042185D" w:rsidRPr="007F3AC7" w:rsidRDefault="00800331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185D" w:rsidRPr="007F3AC7">
        <w:rPr>
          <w:rFonts w:ascii="Times New Roman" w:hAnsi="Times New Roman"/>
          <w:sz w:val="28"/>
          <w:szCs w:val="28"/>
        </w:rPr>
        <w:t xml:space="preserve">В целях настоящего Федерального закона под выпуском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понимается последовательность действий, направленная на отчуждение эмитентом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их приобретателям. У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токена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</w:t>
      </w:r>
      <w:r w:rsidR="004A1D94" w:rsidRPr="007F3AC7">
        <w:rPr>
          <w:rFonts w:ascii="Times New Roman" w:hAnsi="Times New Roman"/>
          <w:sz w:val="28"/>
          <w:szCs w:val="28"/>
        </w:rPr>
        <w:t xml:space="preserve">одного </w:t>
      </w:r>
      <w:r w:rsidR="0042185D" w:rsidRPr="007F3AC7">
        <w:rPr>
          <w:rFonts w:ascii="Times New Roman" w:hAnsi="Times New Roman"/>
          <w:sz w:val="28"/>
          <w:szCs w:val="28"/>
        </w:rPr>
        <w:t xml:space="preserve">вида может быть только один эмитент. </w:t>
      </w:r>
      <w:r w:rsidR="00E24DAD" w:rsidRPr="007F3AC7">
        <w:rPr>
          <w:rFonts w:ascii="Times New Roman" w:hAnsi="Times New Roman"/>
          <w:sz w:val="28"/>
          <w:szCs w:val="28"/>
        </w:rPr>
        <w:t xml:space="preserve">Максимальная сумма, на которую лица, не являющиеся в соответствии с Федеральным законом «О рынке ценных бумаг» квалифицированными инвесторами, могут приобрести </w:t>
      </w:r>
      <w:proofErr w:type="spellStart"/>
      <w:r w:rsidR="00E24DAD" w:rsidRPr="007F3AC7">
        <w:rPr>
          <w:rFonts w:ascii="Times New Roman" w:hAnsi="Times New Roman"/>
          <w:sz w:val="28"/>
          <w:szCs w:val="28"/>
        </w:rPr>
        <w:t>токены</w:t>
      </w:r>
      <w:proofErr w:type="spellEnd"/>
      <w:r w:rsidR="00E24DAD" w:rsidRPr="007F3AC7">
        <w:rPr>
          <w:rFonts w:ascii="Times New Roman" w:hAnsi="Times New Roman"/>
          <w:sz w:val="28"/>
          <w:szCs w:val="28"/>
        </w:rPr>
        <w:t xml:space="preserve"> в рамках одного выпуска, устанавливается Банком России.</w:t>
      </w:r>
      <w:r w:rsidR="00395065" w:rsidRPr="007F3AC7">
        <w:rPr>
          <w:rFonts w:ascii="Times New Roman" w:hAnsi="Times New Roman"/>
          <w:sz w:val="28"/>
          <w:szCs w:val="28"/>
        </w:rPr>
        <w:t xml:space="preserve"> </w:t>
      </w:r>
    </w:p>
    <w:p w:rsidR="0042185D" w:rsidRPr="007F3AC7" w:rsidRDefault="00800331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185D" w:rsidRPr="007F3AC7">
        <w:rPr>
          <w:rFonts w:ascii="Times New Roman" w:hAnsi="Times New Roman"/>
          <w:sz w:val="28"/>
          <w:szCs w:val="28"/>
        </w:rPr>
        <w:t xml:space="preserve">Процедура выпуска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состоит из следующих этапов: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опубликование эмитентом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A109F" w:rsidRPr="007F3AC7">
        <w:rPr>
          <w:rFonts w:ascii="Times New Roman" w:hAnsi="Times New Roman"/>
          <w:sz w:val="28"/>
          <w:szCs w:val="28"/>
        </w:rPr>
        <w:t xml:space="preserve"> инвестиционного меморандума, </w:t>
      </w:r>
      <w:r w:rsidRPr="007F3AC7">
        <w:rPr>
          <w:rFonts w:ascii="Times New Roman" w:hAnsi="Times New Roman"/>
          <w:sz w:val="28"/>
          <w:szCs w:val="28"/>
        </w:rPr>
        <w:t>оферты, содержащей условия прио</w:t>
      </w:r>
      <w:r w:rsidR="00E0639B" w:rsidRPr="007F3AC7">
        <w:rPr>
          <w:rFonts w:ascii="Times New Roman" w:hAnsi="Times New Roman"/>
          <w:sz w:val="28"/>
          <w:szCs w:val="28"/>
        </w:rPr>
        <w:t xml:space="preserve">бретения выпускаемых им </w:t>
      </w:r>
      <w:proofErr w:type="spellStart"/>
      <w:r w:rsidR="00E0639B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(далее – публичная оферта о выпуске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), а также иных </w:t>
      </w:r>
      <w:r w:rsidR="007915E7" w:rsidRPr="007F3AC7">
        <w:rPr>
          <w:rFonts w:ascii="Times New Roman" w:hAnsi="Times New Roman"/>
          <w:sz w:val="28"/>
          <w:szCs w:val="28"/>
        </w:rPr>
        <w:t xml:space="preserve">определенных эмитентом </w:t>
      </w:r>
      <w:r w:rsidRPr="007F3AC7">
        <w:rPr>
          <w:rFonts w:ascii="Times New Roman" w:hAnsi="Times New Roman"/>
          <w:sz w:val="28"/>
          <w:szCs w:val="28"/>
        </w:rPr>
        <w:t xml:space="preserve">документов, необходимых для выпуска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; 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заключение договоров, в том числе в форме смарт-контракта, </w:t>
      </w:r>
      <w:r w:rsidRPr="007F3AC7">
        <w:rPr>
          <w:rFonts w:ascii="Times New Roman" w:hAnsi="Times New Roman"/>
          <w:sz w:val="28"/>
          <w:szCs w:val="28"/>
        </w:rPr>
        <w:lastRenderedPageBreak/>
        <w:t xml:space="preserve">направленных на отчуждение и оплату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их приобретателями.</w:t>
      </w:r>
    </w:p>
    <w:p w:rsidR="0042185D" w:rsidRPr="007F3AC7" w:rsidRDefault="00800331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185D" w:rsidRPr="007F3AC7">
        <w:rPr>
          <w:rFonts w:ascii="Times New Roman" w:hAnsi="Times New Roman"/>
          <w:sz w:val="28"/>
          <w:szCs w:val="28"/>
        </w:rPr>
        <w:t xml:space="preserve">Публичная оферта о выпуске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сведения об эмитенте и его </w:t>
      </w:r>
      <w:proofErr w:type="spellStart"/>
      <w:r w:rsidRPr="007F3AC7">
        <w:rPr>
          <w:rFonts w:ascii="Times New Roman" w:hAnsi="Times New Roman"/>
          <w:sz w:val="28"/>
          <w:szCs w:val="28"/>
        </w:rPr>
        <w:t>бенефициар</w:t>
      </w:r>
      <w:r w:rsidR="007915E7" w:rsidRPr="007F3AC7">
        <w:rPr>
          <w:rFonts w:ascii="Times New Roman" w:hAnsi="Times New Roman"/>
          <w:sz w:val="28"/>
          <w:szCs w:val="28"/>
        </w:rPr>
        <w:t>ном</w:t>
      </w:r>
      <w:proofErr w:type="spellEnd"/>
      <w:r w:rsidR="007915E7" w:rsidRPr="007F3AC7">
        <w:rPr>
          <w:rFonts w:ascii="Times New Roman" w:hAnsi="Times New Roman"/>
          <w:sz w:val="28"/>
          <w:szCs w:val="28"/>
        </w:rPr>
        <w:t xml:space="preserve"> владельце</w:t>
      </w:r>
      <w:r w:rsidRPr="007F3AC7">
        <w:rPr>
          <w:rFonts w:ascii="Times New Roman" w:hAnsi="Times New Roman"/>
          <w:sz w:val="28"/>
          <w:szCs w:val="28"/>
        </w:rPr>
        <w:t xml:space="preserve"> (при наличии): полное наименование эмитента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 его </w:t>
      </w:r>
      <w:proofErr w:type="spellStart"/>
      <w:r w:rsidR="007915E7" w:rsidRPr="007F3AC7">
        <w:rPr>
          <w:rFonts w:ascii="Times New Roman" w:hAnsi="Times New Roman"/>
          <w:sz w:val="28"/>
          <w:szCs w:val="28"/>
        </w:rPr>
        <w:t>бенефициарного</w:t>
      </w:r>
      <w:proofErr w:type="spellEnd"/>
      <w:r w:rsidR="007915E7" w:rsidRPr="007F3AC7">
        <w:rPr>
          <w:rFonts w:ascii="Times New Roman" w:hAnsi="Times New Roman"/>
          <w:sz w:val="28"/>
          <w:szCs w:val="28"/>
        </w:rPr>
        <w:t xml:space="preserve"> владельца</w:t>
      </w:r>
      <w:r w:rsidRPr="007F3AC7">
        <w:rPr>
          <w:rFonts w:ascii="Times New Roman" w:hAnsi="Times New Roman"/>
          <w:sz w:val="28"/>
          <w:szCs w:val="28"/>
        </w:rPr>
        <w:t xml:space="preserve"> (при наличии), место нахождения </w:t>
      </w:r>
      <w:r w:rsidR="007915E7" w:rsidRPr="007F3AC7">
        <w:rPr>
          <w:rFonts w:ascii="Times New Roman" w:hAnsi="Times New Roman"/>
          <w:sz w:val="28"/>
          <w:szCs w:val="28"/>
        </w:rPr>
        <w:t xml:space="preserve">и адрес </w:t>
      </w:r>
      <w:r w:rsidRPr="007F3AC7">
        <w:rPr>
          <w:rFonts w:ascii="Times New Roman" w:hAnsi="Times New Roman"/>
          <w:sz w:val="28"/>
          <w:szCs w:val="28"/>
        </w:rPr>
        <w:t xml:space="preserve">постоянно действующего исполнительного органа эмитента и его </w:t>
      </w:r>
      <w:proofErr w:type="spellStart"/>
      <w:r w:rsidR="007915E7" w:rsidRPr="007F3AC7">
        <w:rPr>
          <w:rFonts w:ascii="Times New Roman" w:hAnsi="Times New Roman"/>
          <w:sz w:val="28"/>
          <w:szCs w:val="28"/>
        </w:rPr>
        <w:t>бенефициарного</w:t>
      </w:r>
      <w:proofErr w:type="spellEnd"/>
      <w:r w:rsidR="007915E7" w:rsidRPr="007F3AC7">
        <w:rPr>
          <w:rFonts w:ascii="Times New Roman" w:hAnsi="Times New Roman"/>
          <w:sz w:val="28"/>
          <w:szCs w:val="28"/>
        </w:rPr>
        <w:t xml:space="preserve"> владельца</w:t>
      </w:r>
      <w:r w:rsidRPr="007F3AC7">
        <w:rPr>
          <w:rFonts w:ascii="Times New Roman" w:hAnsi="Times New Roman"/>
          <w:sz w:val="28"/>
          <w:szCs w:val="28"/>
        </w:rPr>
        <w:t xml:space="preserve"> (при наличии), официальный сайт эмитента в информационно-телекоммуникационной сети </w:t>
      </w:r>
      <w:r w:rsidR="007915E7" w:rsidRPr="007F3AC7">
        <w:rPr>
          <w:rFonts w:ascii="Times New Roman" w:hAnsi="Times New Roman"/>
          <w:sz w:val="28"/>
          <w:szCs w:val="28"/>
        </w:rPr>
        <w:t>«</w:t>
      </w:r>
      <w:r w:rsidRPr="007F3AC7">
        <w:rPr>
          <w:rFonts w:ascii="Times New Roman" w:hAnsi="Times New Roman"/>
          <w:sz w:val="28"/>
          <w:szCs w:val="28"/>
        </w:rPr>
        <w:t>Интернет</w:t>
      </w:r>
      <w:r w:rsidR="007915E7" w:rsidRPr="007F3AC7">
        <w:rPr>
          <w:rFonts w:ascii="Times New Roman" w:hAnsi="Times New Roman"/>
          <w:sz w:val="28"/>
          <w:szCs w:val="28"/>
        </w:rPr>
        <w:t>»</w:t>
      </w:r>
      <w:r w:rsidRPr="007F3AC7">
        <w:rPr>
          <w:rFonts w:ascii="Times New Roman" w:hAnsi="Times New Roman"/>
          <w:sz w:val="28"/>
          <w:szCs w:val="28"/>
        </w:rPr>
        <w:t>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сведения о лице, осуществляющем депозитарную деятельность, которому передаются на хранение экземпляры публичной оферты о выпуске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 инвестиционного меморандума (в случае, если эмитент самостоятельно учитывает права владельцев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>);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цену приобретения выпускаемого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токена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или порядок ее определения;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дату начала заключения договоров о приобретении выпускаемых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>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порядок направления акцепта публичной оферты о выпуске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, в том числе срок для направления акцепта, а также порядок оплаты </w:t>
      </w:r>
      <w:proofErr w:type="gramStart"/>
      <w:r w:rsidRPr="007F3AC7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7F3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>;</w:t>
      </w:r>
    </w:p>
    <w:p w:rsidR="0042185D" w:rsidRPr="007F3AC7" w:rsidRDefault="00E24DA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сведения о максимальной сумме, на которую могут приобрести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токены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лица, не являющиеся в соответствии с Федеральным законом «О рынке ценных бумаг» квалифицированными инвесторами</w:t>
      </w:r>
      <w:r w:rsidR="0042185D" w:rsidRPr="007F3AC7">
        <w:rPr>
          <w:rFonts w:ascii="Times New Roman" w:hAnsi="Times New Roman"/>
          <w:sz w:val="28"/>
        </w:rPr>
        <w:t>;</w:t>
      </w:r>
      <w:r w:rsidR="0042185D" w:rsidRPr="007F3AC7">
        <w:rPr>
          <w:rFonts w:ascii="Times New Roman" w:hAnsi="Times New Roman"/>
          <w:sz w:val="28"/>
          <w:szCs w:val="28"/>
        </w:rPr>
        <w:t xml:space="preserve"> 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правила ведения реестра цифровых транзакций, включающие, в том числе, порядок </w:t>
      </w:r>
      <w:proofErr w:type="spellStart"/>
      <w:r w:rsidRPr="007F3AC7">
        <w:rPr>
          <w:rFonts w:ascii="Times New Roman" w:hAnsi="Times New Roman"/>
          <w:sz w:val="28"/>
          <w:szCs w:val="28"/>
        </w:rPr>
        <w:t>валидации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цифровых транзакций;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AC7">
        <w:rPr>
          <w:rFonts w:ascii="Times New Roman" w:hAnsi="Times New Roman"/>
          <w:sz w:val="28"/>
          <w:szCs w:val="28"/>
        </w:rPr>
        <w:t>информацию о порядке открытия цифровых кошельков</w:t>
      </w:r>
      <w:bookmarkStart w:id="0" w:name="_GoBack"/>
      <w:bookmarkEnd w:id="0"/>
      <w:r w:rsidRPr="007F3AC7">
        <w:rPr>
          <w:rFonts w:ascii="Times New Roman" w:hAnsi="Times New Roman"/>
          <w:sz w:val="28"/>
          <w:szCs w:val="28"/>
        </w:rPr>
        <w:t xml:space="preserve">, используемых для хранения информации о приобретаемых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токенах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 порядке доступ</w:t>
      </w:r>
      <w:r w:rsidR="00E0639B" w:rsidRPr="007F3AC7">
        <w:rPr>
          <w:rFonts w:ascii="Times New Roman" w:hAnsi="Times New Roman"/>
          <w:sz w:val="28"/>
          <w:szCs w:val="28"/>
        </w:rPr>
        <w:t>а к реестру цифровых транзакций;</w:t>
      </w:r>
      <w:proofErr w:type="gramEnd"/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lastRenderedPageBreak/>
        <w:t>иные сведения, определенные эмитентом.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Публичная оферта о выпуске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должна быть подписана усиленной квалифицированной </w:t>
      </w:r>
      <w:r w:rsidR="007915E7" w:rsidRPr="007F3AC7">
        <w:rPr>
          <w:rFonts w:ascii="Times New Roman" w:hAnsi="Times New Roman"/>
          <w:sz w:val="28"/>
          <w:szCs w:val="28"/>
        </w:rPr>
        <w:t xml:space="preserve">электронной </w:t>
      </w:r>
      <w:r w:rsidRPr="007F3AC7">
        <w:rPr>
          <w:rFonts w:ascii="Times New Roman" w:hAnsi="Times New Roman"/>
          <w:sz w:val="28"/>
          <w:szCs w:val="28"/>
        </w:rPr>
        <w:t xml:space="preserve">подписью лица, осуществляющего функции единоличного исполнительного органа юридического лица – эмитента или индивидуального предпринимателя – эмитента. 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Если учет прав владельцев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ведется эмитентом самостоятельно, то эмитент обязан передать на хранение экземпляр публичной оферты о выпуске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 инвестиционного меморандума лицу, осуществляющему депозитарную деятельность.</w:t>
      </w:r>
    </w:p>
    <w:p w:rsidR="007915E7" w:rsidRPr="007F3AC7" w:rsidRDefault="007915E7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AC7">
        <w:rPr>
          <w:rFonts w:ascii="Times New Roman" w:hAnsi="Times New Roman"/>
          <w:sz w:val="28"/>
          <w:szCs w:val="28"/>
        </w:rPr>
        <w:t>Понятие «</w:t>
      </w:r>
      <w:proofErr w:type="spellStart"/>
      <w:r w:rsidRPr="007F3AC7">
        <w:rPr>
          <w:rFonts w:ascii="Times New Roman" w:hAnsi="Times New Roman"/>
          <w:sz w:val="28"/>
          <w:szCs w:val="28"/>
        </w:rPr>
        <w:t>бенефициарный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владелец» используется в настоящем Федеральном законе в значении, определенном Федеральным законом от 7 августа 2001 г</w:t>
      </w:r>
      <w:r w:rsidR="00587015" w:rsidRPr="007F3AC7">
        <w:rPr>
          <w:rFonts w:ascii="Times New Roman" w:hAnsi="Times New Roman"/>
          <w:sz w:val="28"/>
          <w:szCs w:val="28"/>
        </w:rPr>
        <w:t xml:space="preserve">. </w:t>
      </w:r>
      <w:r w:rsidRPr="007F3AC7">
        <w:rPr>
          <w:rFonts w:ascii="Times New Roman" w:hAnsi="Times New Roman"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(далее – Федеральный закон</w:t>
      </w:r>
      <w:r w:rsidR="00CB7F48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терроризма»).</w:t>
      </w:r>
      <w:proofErr w:type="gramEnd"/>
    </w:p>
    <w:p w:rsidR="0042185D" w:rsidRPr="007F3AC7" w:rsidRDefault="00800331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185D" w:rsidRPr="007F3AC7">
        <w:rPr>
          <w:rFonts w:ascii="Times New Roman" w:hAnsi="Times New Roman"/>
          <w:sz w:val="28"/>
          <w:szCs w:val="28"/>
        </w:rPr>
        <w:t>Инвестиционный меморандум должен содержать: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сведения об эмитенте: полное и сокращенное наименование, цели создания (при наличии), основные виды деятельности;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сведения об акционерах (участниках) эмитента, а также о структуре и компетенции органов управления эмитента;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основные цели выпуска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и направления использования средств, полученных в резул</w:t>
      </w:r>
      <w:r w:rsidR="0046125B">
        <w:rPr>
          <w:rFonts w:ascii="Times New Roman" w:hAnsi="Times New Roman"/>
          <w:sz w:val="28"/>
          <w:szCs w:val="28"/>
        </w:rPr>
        <w:t xml:space="preserve">ьтате выпуска </w:t>
      </w:r>
      <w:proofErr w:type="spellStart"/>
      <w:r w:rsidR="0046125B">
        <w:rPr>
          <w:rFonts w:ascii="Times New Roman" w:hAnsi="Times New Roman"/>
          <w:sz w:val="28"/>
          <w:szCs w:val="28"/>
        </w:rPr>
        <w:t>токенов</w:t>
      </w:r>
      <w:proofErr w:type="spellEnd"/>
      <w:r w:rsidR="0046125B">
        <w:rPr>
          <w:rFonts w:ascii="Times New Roman" w:hAnsi="Times New Roman"/>
          <w:sz w:val="28"/>
          <w:szCs w:val="28"/>
        </w:rPr>
        <w:t xml:space="preserve">. </w:t>
      </w:r>
      <w:r w:rsidR="0046125B" w:rsidRPr="004476F9">
        <w:rPr>
          <w:rFonts w:ascii="Times New Roman" w:hAnsi="Times New Roman"/>
          <w:sz w:val="28"/>
          <w:szCs w:val="28"/>
        </w:rPr>
        <w:t>В случае</w:t>
      </w:r>
      <w:r w:rsidRPr="00D5354A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 xml:space="preserve">если выпуск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осуществляется с целью финансирования определенного проекта, приводится описа</w:t>
      </w:r>
      <w:r w:rsidR="006C00A0" w:rsidRPr="007F3AC7">
        <w:rPr>
          <w:rFonts w:ascii="Times New Roman" w:hAnsi="Times New Roman"/>
          <w:sz w:val="28"/>
          <w:szCs w:val="28"/>
        </w:rPr>
        <w:t xml:space="preserve">ние такого проекта, в том числе </w:t>
      </w:r>
      <w:r w:rsidRPr="007F3AC7">
        <w:rPr>
          <w:rFonts w:ascii="Times New Roman" w:hAnsi="Times New Roman"/>
          <w:sz w:val="28"/>
          <w:szCs w:val="28"/>
        </w:rPr>
        <w:t>би</w:t>
      </w:r>
      <w:r w:rsidR="006C00A0" w:rsidRPr="007F3AC7">
        <w:rPr>
          <w:rFonts w:ascii="Times New Roman" w:hAnsi="Times New Roman"/>
          <w:sz w:val="28"/>
          <w:szCs w:val="28"/>
        </w:rPr>
        <w:t>знес-план (при наличии)</w:t>
      </w:r>
      <w:r w:rsidR="00B35EC2" w:rsidRPr="007F3AC7">
        <w:rPr>
          <w:rFonts w:ascii="Times New Roman" w:hAnsi="Times New Roman"/>
          <w:sz w:val="28"/>
          <w:szCs w:val="28"/>
        </w:rPr>
        <w:t xml:space="preserve"> и</w:t>
      </w:r>
      <w:r w:rsidR="006C00A0" w:rsidRPr="007F3AC7">
        <w:rPr>
          <w:rFonts w:ascii="Times New Roman" w:hAnsi="Times New Roman"/>
          <w:sz w:val="28"/>
          <w:szCs w:val="28"/>
        </w:rPr>
        <w:t xml:space="preserve"> сроки его</w:t>
      </w:r>
      <w:r w:rsidR="00F96B0A"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>реализации</w:t>
      </w:r>
      <w:r w:rsidR="00E41091" w:rsidRPr="007F3AC7">
        <w:rPr>
          <w:rFonts w:ascii="Times New Roman" w:hAnsi="Times New Roman"/>
          <w:sz w:val="28"/>
          <w:szCs w:val="28"/>
        </w:rPr>
        <w:t>,</w:t>
      </w:r>
      <w:r w:rsidRPr="007F3AC7">
        <w:rPr>
          <w:rFonts w:ascii="Times New Roman" w:hAnsi="Times New Roman"/>
          <w:sz w:val="28"/>
          <w:szCs w:val="28"/>
        </w:rPr>
        <w:t xml:space="preserve"> </w:t>
      </w:r>
      <w:r w:rsidR="00F96B0A" w:rsidRPr="007F3AC7">
        <w:rPr>
          <w:rFonts w:ascii="Times New Roman" w:hAnsi="Times New Roman"/>
          <w:sz w:val="28"/>
          <w:szCs w:val="28"/>
        </w:rPr>
        <w:t xml:space="preserve">а также </w:t>
      </w:r>
      <w:r w:rsidRPr="007F3AC7">
        <w:rPr>
          <w:rFonts w:ascii="Times New Roman" w:hAnsi="Times New Roman"/>
          <w:sz w:val="28"/>
          <w:szCs w:val="28"/>
        </w:rPr>
        <w:t>информаци</w:t>
      </w:r>
      <w:r w:rsidR="004A1D94" w:rsidRPr="007F3AC7">
        <w:rPr>
          <w:rFonts w:ascii="Times New Roman" w:hAnsi="Times New Roman"/>
          <w:sz w:val="28"/>
          <w:szCs w:val="28"/>
        </w:rPr>
        <w:t>я</w:t>
      </w:r>
      <w:r w:rsidRPr="007F3AC7">
        <w:rPr>
          <w:rFonts w:ascii="Times New Roman" w:hAnsi="Times New Roman"/>
          <w:sz w:val="28"/>
          <w:szCs w:val="28"/>
        </w:rPr>
        <w:t xml:space="preserve"> о рисках, связанных с </w:t>
      </w:r>
      <w:r w:rsidR="00B35EC2" w:rsidRPr="007F3AC7">
        <w:rPr>
          <w:rFonts w:ascii="Times New Roman" w:hAnsi="Times New Roman"/>
          <w:sz w:val="28"/>
          <w:szCs w:val="28"/>
        </w:rPr>
        <w:t xml:space="preserve">осуществлением </w:t>
      </w:r>
      <w:r w:rsidR="00B35EC2" w:rsidRPr="007F3AC7">
        <w:rPr>
          <w:rFonts w:ascii="Times New Roman" w:hAnsi="Times New Roman"/>
          <w:sz w:val="28"/>
          <w:szCs w:val="28"/>
        </w:rPr>
        <w:lastRenderedPageBreak/>
        <w:t>проекта</w:t>
      </w:r>
      <w:r w:rsidRPr="007F3AC7">
        <w:rPr>
          <w:rFonts w:ascii="Times New Roman" w:hAnsi="Times New Roman"/>
          <w:sz w:val="28"/>
          <w:szCs w:val="28"/>
        </w:rPr>
        <w:t>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условия предложения о привлечении инвестиций;</w:t>
      </w:r>
    </w:p>
    <w:p w:rsidR="00E24DAD" w:rsidRPr="007F3AC7" w:rsidRDefault="00E24DA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права, предоставляемые владельцу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токена</w:t>
      </w:r>
      <w:proofErr w:type="spellEnd"/>
      <w:r w:rsidRPr="007F3AC7">
        <w:rPr>
          <w:rFonts w:ascii="Times New Roman" w:hAnsi="Times New Roman"/>
          <w:sz w:val="28"/>
          <w:szCs w:val="28"/>
        </w:rPr>
        <w:t>, и порядок осуществления таких прав;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иную информацию, которую эмитент посчитает </w:t>
      </w:r>
      <w:proofErr w:type="gramStart"/>
      <w:r w:rsidRPr="007F3AC7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7F3AC7">
        <w:rPr>
          <w:rFonts w:ascii="Times New Roman" w:hAnsi="Times New Roman"/>
          <w:sz w:val="28"/>
          <w:szCs w:val="28"/>
        </w:rPr>
        <w:t xml:space="preserve"> указать в инвестиционном меморандуме.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AC7">
        <w:rPr>
          <w:rFonts w:ascii="Times New Roman" w:hAnsi="Times New Roman"/>
          <w:sz w:val="28"/>
          <w:szCs w:val="28"/>
        </w:rPr>
        <w:t xml:space="preserve">Инвестиционный меморандум должен быть подписан лицом, осуществляющим функции единоличного исполнительного органа юридического лица – эмитента или индивидуальным предпринимателем </w:t>
      </w:r>
      <w:r w:rsidR="00011C07" w:rsidRPr="007F3AC7">
        <w:rPr>
          <w:rFonts w:ascii="Times New Roman" w:hAnsi="Times New Roman"/>
          <w:sz w:val="28"/>
          <w:szCs w:val="28"/>
        </w:rPr>
        <w:t>–</w:t>
      </w:r>
      <w:r w:rsidRPr="007F3AC7">
        <w:rPr>
          <w:rFonts w:ascii="Times New Roman" w:hAnsi="Times New Roman"/>
          <w:sz w:val="28"/>
          <w:szCs w:val="28"/>
        </w:rPr>
        <w:t xml:space="preserve"> эмитентом, подтверждающими тем самым достоверность и полноту всей информации, содержащейся в инвестиционном меморандуме. </w:t>
      </w:r>
      <w:proofErr w:type="gramEnd"/>
    </w:p>
    <w:p w:rsidR="0042185D" w:rsidRPr="007F3AC7" w:rsidRDefault="00800331" w:rsidP="008D0B9F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E2CEA" w:rsidRPr="007F3AC7">
        <w:rPr>
          <w:rFonts w:ascii="Times New Roman" w:hAnsi="Times New Roman"/>
          <w:sz w:val="28"/>
          <w:szCs w:val="28"/>
        </w:rPr>
        <w:t>Инв</w:t>
      </w:r>
      <w:r w:rsidR="0042185D" w:rsidRPr="007F3AC7">
        <w:rPr>
          <w:rFonts w:ascii="Times New Roman" w:hAnsi="Times New Roman"/>
          <w:sz w:val="28"/>
          <w:szCs w:val="28"/>
        </w:rPr>
        <w:t xml:space="preserve">естиционный меморандум, правила ведения реестра цифровых транзакций, а также иные документы, опубликование которых в соответствии с настоящим Федеральным законом осуществляется одновременно с публичной офертой о выпуске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, должны быть опубликованы не позднее, чем за 3 рабочих дня до указанной в оферте о выпуске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даты начала заключения договоров, направленных на отчуждение эмитентом </w:t>
      </w:r>
      <w:proofErr w:type="spellStart"/>
      <w:r w:rsidR="0042185D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42185D" w:rsidRPr="007F3AC7">
        <w:rPr>
          <w:rFonts w:ascii="Times New Roman" w:hAnsi="Times New Roman"/>
          <w:sz w:val="28"/>
          <w:szCs w:val="28"/>
        </w:rPr>
        <w:t xml:space="preserve"> их владельцам.</w:t>
      </w:r>
      <w:proofErr w:type="gramEnd"/>
    </w:p>
    <w:p w:rsidR="0042185D" w:rsidRPr="007F3AC7" w:rsidRDefault="0042185D" w:rsidP="008D0B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До опубликования оферты о выпуске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выпускаемые </w:t>
      </w:r>
      <w:proofErr w:type="spellStart"/>
      <w:r w:rsidRPr="007F3AC7">
        <w:rPr>
          <w:rFonts w:ascii="Times New Roman" w:hAnsi="Times New Roman"/>
          <w:sz w:val="28"/>
          <w:szCs w:val="28"/>
        </w:rPr>
        <w:t>токены</w:t>
      </w:r>
      <w:proofErr w:type="spellEnd"/>
      <w:r w:rsidRPr="007F3AC7">
        <w:rPr>
          <w:rFonts w:ascii="Times New Roman" w:hAnsi="Times New Roman"/>
          <w:sz w:val="28"/>
          <w:szCs w:val="28"/>
        </w:rPr>
        <w:t xml:space="preserve"> не могут предлагаться потенциальным приобретателям в любой форме и любыми средствами с использованием рекламы.</w:t>
      </w:r>
    </w:p>
    <w:p w:rsidR="0042185D" w:rsidRPr="007F3AC7" w:rsidRDefault="0042185D" w:rsidP="008D0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>Статья 4. Особенности обращения цифровых финансовых активов</w:t>
      </w:r>
    </w:p>
    <w:p w:rsidR="004536F7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>Владельцы цифровых финансовых активов вправе совершать сделки по обмену</w:t>
      </w:r>
      <w:r w:rsidR="00011C07" w:rsidRPr="007F3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C07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9D52EF"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>на рубли, иностранную валюту</w:t>
      </w:r>
      <w:r w:rsidR="009073BC"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>только через оператора обмена цифровых финансовых активов.</w:t>
      </w:r>
      <w:r w:rsidR="0050382E" w:rsidRPr="007F3AC7">
        <w:rPr>
          <w:rFonts w:ascii="Times New Roman" w:hAnsi="Times New Roman"/>
          <w:sz w:val="28"/>
          <w:szCs w:val="28"/>
        </w:rPr>
        <w:t xml:space="preserve"> </w:t>
      </w:r>
      <w:r w:rsidR="009073BC" w:rsidRPr="007F3AC7">
        <w:rPr>
          <w:rFonts w:ascii="Times New Roman" w:hAnsi="Times New Roman"/>
          <w:sz w:val="28"/>
          <w:szCs w:val="28"/>
        </w:rPr>
        <w:t xml:space="preserve">Перечень иных сделок по обмену цифровых финансовых активов, которые могут совершаться на территории </w:t>
      </w:r>
      <w:r w:rsidR="009073BC" w:rsidRPr="007F3AC7">
        <w:rPr>
          <w:rFonts w:ascii="Times New Roman" w:hAnsi="Times New Roman"/>
          <w:sz w:val="28"/>
          <w:szCs w:val="28"/>
        </w:rPr>
        <w:lastRenderedPageBreak/>
        <w:t>Российской Федерации, а также порядок и условия совершения таких сделок устанавливаются Банком России по согласованию с Правительством Российской Федерации.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Цифровые записи, содержащие информацию о таких сделках, должны храниться в цифровых кошельках, открытых </w:t>
      </w:r>
      <w:r w:rsidR="006D1399" w:rsidRPr="007F3AC7">
        <w:rPr>
          <w:rFonts w:ascii="Times New Roman" w:hAnsi="Times New Roman"/>
          <w:sz w:val="28"/>
          <w:szCs w:val="28"/>
        </w:rPr>
        <w:t xml:space="preserve">сторонам сделки </w:t>
      </w:r>
      <w:r w:rsidRPr="007F3AC7">
        <w:rPr>
          <w:rFonts w:ascii="Times New Roman" w:hAnsi="Times New Roman"/>
          <w:sz w:val="28"/>
          <w:szCs w:val="28"/>
        </w:rPr>
        <w:t xml:space="preserve">оператором обмена цифровых финансовых активов. Сделки по обмену </w:t>
      </w:r>
      <w:proofErr w:type="spellStart"/>
      <w:r w:rsidR="00011C07" w:rsidRPr="007F3AC7">
        <w:rPr>
          <w:rFonts w:ascii="Times New Roman" w:hAnsi="Times New Roman"/>
          <w:sz w:val="28"/>
          <w:szCs w:val="28"/>
        </w:rPr>
        <w:t>токенов</w:t>
      </w:r>
      <w:proofErr w:type="spellEnd"/>
      <w:r w:rsidR="00011C07"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sz w:val="28"/>
          <w:szCs w:val="28"/>
        </w:rPr>
        <w:t>на рубли, иностранную валюту, заключаемые с привлечением оператора обмена цифровых финансовых активов, являющегося организатором торговли в соответствии с Федеральным законом «Об организованных торгах», должны осуществляться в соответствии с Правилами организованных торгов цифровыми финансовыми активами, зарегистрированными в Центральном банке Российской Федерации.</w:t>
      </w:r>
    </w:p>
    <w:p w:rsidR="00187432" w:rsidRPr="007F3AC7" w:rsidRDefault="00187432" w:rsidP="00CB7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7">
        <w:rPr>
          <w:rFonts w:ascii="Times New Roman" w:hAnsi="Times New Roman" w:cs="Times New Roman"/>
          <w:sz w:val="28"/>
          <w:szCs w:val="28"/>
        </w:rPr>
        <w:t>Цифровой кошелек открывается оператором обмена цифровых финансовых активов только после прохождения процедур идентификации его владельца в соответствии с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C764F4" w:rsidRPr="007F3AC7" w:rsidRDefault="003E2668" w:rsidP="00CB7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7">
        <w:rPr>
          <w:rFonts w:ascii="Times New Roman" w:hAnsi="Times New Roman" w:cs="Times New Roman"/>
          <w:sz w:val="28"/>
          <w:szCs w:val="28"/>
        </w:rPr>
        <w:t>Порядок открытия, хранения информации о цифровых записях, ведения, закрытия цифрового кошелька, а также требования к защите цифровых кошельков устанавливаются Центральным банком Российской Федерации.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AC7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F47868" w:rsidRPr="007F3AC7">
        <w:rPr>
          <w:rFonts w:ascii="Times New Roman" w:hAnsi="Times New Roman"/>
          <w:b/>
          <w:bCs/>
          <w:sz w:val="28"/>
          <w:szCs w:val="28"/>
        </w:rPr>
        <w:t>5</w:t>
      </w:r>
      <w:r w:rsidRPr="007F3AC7">
        <w:rPr>
          <w:rFonts w:ascii="Times New Roman" w:hAnsi="Times New Roman"/>
          <w:b/>
          <w:bCs/>
          <w:sz w:val="28"/>
          <w:szCs w:val="28"/>
        </w:rPr>
        <w:t>.</w:t>
      </w:r>
      <w:r w:rsidRPr="007F3AC7">
        <w:rPr>
          <w:rFonts w:ascii="Times New Roman" w:hAnsi="Times New Roman"/>
          <w:sz w:val="28"/>
          <w:szCs w:val="28"/>
        </w:rPr>
        <w:t xml:space="preserve"> </w:t>
      </w:r>
      <w:r w:rsidRPr="007F3AC7">
        <w:rPr>
          <w:rFonts w:ascii="Times New Roman" w:hAnsi="Times New Roman"/>
          <w:b/>
          <w:bCs/>
          <w:sz w:val="28"/>
          <w:szCs w:val="28"/>
        </w:rPr>
        <w:t>Порядок вступления в силу настоящего Федерального закона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3AC7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по истечении 90 дней </w:t>
      </w:r>
      <w:proofErr w:type="gramStart"/>
      <w:r w:rsidRPr="007F3AC7">
        <w:rPr>
          <w:rFonts w:ascii="Times New Roman" w:hAnsi="Times New Roman"/>
          <w:sz w:val="28"/>
          <w:szCs w:val="28"/>
        </w:rPr>
        <w:t>с</w:t>
      </w:r>
      <w:proofErr w:type="gramEnd"/>
      <w:r w:rsidRPr="007F3AC7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42185D" w:rsidRPr="007F3AC7" w:rsidRDefault="0042185D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00331" w:rsidRPr="00800331" w:rsidRDefault="0042185D" w:rsidP="008003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00331">
        <w:rPr>
          <w:rFonts w:ascii="Times New Roman" w:hAnsi="Times New Roman"/>
          <w:b/>
          <w:sz w:val="28"/>
          <w:szCs w:val="28"/>
        </w:rPr>
        <w:lastRenderedPageBreak/>
        <w:t xml:space="preserve">Президент </w:t>
      </w:r>
    </w:p>
    <w:p w:rsidR="003934F4" w:rsidRPr="00800331" w:rsidRDefault="0042185D" w:rsidP="0080033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800331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91F15" w:rsidRDefault="00A91F15" w:rsidP="00CB7F48">
      <w:pPr>
        <w:widowControl w:val="0"/>
        <w:autoSpaceDE w:val="0"/>
        <w:autoSpaceDN w:val="0"/>
        <w:adjustRightInd w:val="0"/>
        <w:spacing w:after="0" w:line="360" w:lineRule="auto"/>
        <w:ind w:firstLine="709"/>
      </w:pPr>
    </w:p>
    <w:sectPr w:rsidR="00A91F15" w:rsidSect="00CB7F48">
      <w:headerReference w:type="default" r:id="rId10"/>
      <w:footerReference w:type="default" r:id="rId11"/>
      <w:pgSz w:w="12240" w:h="15840"/>
      <w:pgMar w:top="1418" w:right="1418" w:bottom="170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AF" w:rsidRDefault="007415AF">
      <w:pPr>
        <w:spacing w:after="0" w:line="240" w:lineRule="auto"/>
      </w:pPr>
      <w:r>
        <w:separator/>
      </w:r>
    </w:p>
  </w:endnote>
  <w:endnote w:type="continuationSeparator" w:id="0">
    <w:p w:rsidR="007415AF" w:rsidRDefault="007415AF">
      <w:pPr>
        <w:spacing w:after="0" w:line="240" w:lineRule="auto"/>
      </w:pPr>
      <w:r>
        <w:continuationSeparator/>
      </w:r>
    </w:p>
  </w:endnote>
  <w:endnote w:type="continuationNotice" w:id="1">
    <w:p w:rsidR="007415AF" w:rsidRDefault="00741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A6" w:rsidRDefault="000373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AF" w:rsidRDefault="007415AF">
      <w:pPr>
        <w:spacing w:after="0" w:line="240" w:lineRule="auto"/>
      </w:pPr>
      <w:r>
        <w:separator/>
      </w:r>
    </w:p>
  </w:footnote>
  <w:footnote w:type="continuationSeparator" w:id="0">
    <w:p w:rsidR="007415AF" w:rsidRDefault="007415AF">
      <w:pPr>
        <w:spacing w:after="0" w:line="240" w:lineRule="auto"/>
      </w:pPr>
      <w:r>
        <w:continuationSeparator/>
      </w:r>
    </w:p>
  </w:footnote>
  <w:footnote w:type="continuationNotice" w:id="1">
    <w:p w:rsidR="007415AF" w:rsidRDefault="00741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76" w:rsidRDefault="004218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64E0">
      <w:rPr>
        <w:noProof/>
      </w:rPr>
      <w:t>2</w:t>
    </w:r>
    <w:r>
      <w:fldChar w:fldCharType="end"/>
    </w:r>
  </w:p>
  <w:p w:rsidR="00D71F76" w:rsidRDefault="007415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6B50"/>
    <w:multiLevelType w:val="hybridMultilevel"/>
    <w:tmpl w:val="3BE2BA0A"/>
    <w:lvl w:ilvl="0" w:tplc="2D2C37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F8"/>
    <w:rsid w:val="0000124B"/>
    <w:rsid w:val="00004E4E"/>
    <w:rsid w:val="00011C07"/>
    <w:rsid w:val="000373A6"/>
    <w:rsid w:val="00037E3E"/>
    <w:rsid w:val="000746E0"/>
    <w:rsid w:val="00084151"/>
    <w:rsid w:val="000A0A2E"/>
    <w:rsid w:val="000A7D62"/>
    <w:rsid w:val="000D2DF4"/>
    <w:rsid w:val="00113D61"/>
    <w:rsid w:val="001159F5"/>
    <w:rsid w:val="00116C36"/>
    <w:rsid w:val="00117E05"/>
    <w:rsid w:val="001227E8"/>
    <w:rsid w:val="0016621B"/>
    <w:rsid w:val="00175A24"/>
    <w:rsid w:val="00187432"/>
    <w:rsid w:val="001A2775"/>
    <w:rsid w:val="001B75B6"/>
    <w:rsid w:val="001C42F8"/>
    <w:rsid w:val="0020138D"/>
    <w:rsid w:val="00215B61"/>
    <w:rsid w:val="002217BF"/>
    <w:rsid w:val="00241B08"/>
    <w:rsid w:val="0025202B"/>
    <w:rsid w:val="00263947"/>
    <w:rsid w:val="0026553B"/>
    <w:rsid w:val="00265CCE"/>
    <w:rsid w:val="002856A4"/>
    <w:rsid w:val="002A3AF8"/>
    <w:rsid w:val="002A6BD7"/>
    <w:rsid w:val="002B02EC"/>
    <w:rsid w:val="00303B7A"/>
    <w:rsid w:val="00352489"/>
    <w:rsid w:val="003564EF"/>
    <w:rsid w:val="00370D86"/>
    <w:rsid w:val="003934F4"/>
    <w:rsid w:val="00395065"/>
    <w:rsid w:val="003A68A9"/>
    <w:rsid w:val="003B5DDC"/>
    <w:rsid w:val="003C0C11"/>
    <w:rsid w:val="003E2668"/>
    <w:rsid w:val="003F1417"/>
    <w:rsid w:val="00400DD4"/>
    <w:rsid w:val="00413404"/>
    <w:rsid w:val="00414E69"/>
    <w:rsid w:val="0042185D"/>
    <w:rsid w:val="00426143"/>
    <w:rsid w:val="00441F05"/>
    <w:rsid w:val="004476F9"/>
    <w:rsid w:val="004536F7"/>
    <w:rsid w:val="004564E0"/>
    <w:rsid w:val="0046125B"/>
    <w:rsid w:val="0047505E"/>
    <w:rsid w:val="004757F5"/>
    <w:rsid w:val="0048727C"/>
    <w:rsid w:val="004A1D94"/>
    <w:rsid w:val="004C2170"/>
    <w:rsid w:val="00500849"/>
    <w:rsid w:val="0050382E"/>
    <w:rsid w:val="0053691F"/>
    <w:rsid w:val="00551D06"/>
    <w:rsid w:val="0055379E"/>
    <w:rsid w:val="00587015"/>
    <w:rsid w:val="005A109F"/>
    <w:rsid w:val="005A5881"/>
    <w:rsid w:val="005F4221"/>
    <w:rsid w:val="00637120"/>
    <w:rsid w:val="00637245"/>
    <w:rsid w:val="0069755F"/>
    <w:rsid w:val="006C00A0"/>
    <w:rsid w:val="006D1399"/>
    <w:rsid w:val="006D22B3"/>
    <w:rsid w:val="006D4765"/>
    <w:rsid w:val="006E3954"/>
    <w:rsid w:val="00703F35"/>
    <w:rsid w:val="00716996"/>
    <w:rsid w:val="007415AF"/>
    <w:rsid w:val="0075015E"/>
    <w:rsid w:val="007850BA"/>
    <w:rsid w:val="007915E7"/>
    <w:rsid w:val="00797CEC"/>
    <w:rsid w:val="007A736E"/>
    <w:rsid w:val="007B093B"/>
    <w:rsid w:val="007B3951"/>
    <w:rsid w:val="007E2CEA"/>
    <w:rsid w:val="007F3AC7"/>
    <w:rsid w:val="00800331"/>
    <w:rsid w:val="00810BA7"/>
    <w:rsid w:val="0081263C"/>
    <w:rsid w:val="00852ED5"/>
    <w:rsid w:val="00864AAC"/>
    <w:rsid w:val="0086600B"/>
    <w:rsid w:val="00883842"/>
    <w:rsid w:val="008D0B9F"/>
    <w:rsid w:val="008E1983"/>
    <w:rsid w:val="008E47BC"/>
    <w:rsid w:val="008E7DF0"/>
    <w:rsid w:val="009073BC"/>
    <w:rsid w:val="00913D4A"/>
    <w:rsid w:val="00951CF8"/>
    <w:rsid w:val="0096311B"/>
    <w:rsid w:val="0096576B"/>
    <w:rsid w:val="009657C1"/>
    <w:rsid w:val="009C27A0"/>
    <w:rsid w:val="009C4185"/>
    <w:rsid w:val="009D52EF"/>
    <w:rsid w:val="00A01762"/>
    <w:rsid w:val="00A37663"/>
    <w:rsid w:val="00A46CFA"/>
    <w:rsid w:val="00A64F61"/>
    <w:rsid w:val="00A91769"/>
    <w:rsid w:val="00A91F15"/>
    <w:rsid w:val="00A95FAD"/>
    <w:rsid w:val="00AA7090"/>
    <w:rsid w:val="00AC0795"/>
    <w:rsid w:val="00AE6B31"/>
    <w:rsid w:val="00B21116"/>
    <w:rsid w:val="00B35EC2"/>
    <w:rsid w:val="00B440F0"/>
    <w:rsid w:val="00B555C1"/>
    <w:rsid w:val="00B66E46"/>
    <w:rsid w:val="00BF445E"/>
    <w:rsid w:val="00C23578"/>
    <w:rsid w:val="00C4116E"/>
    <w:rsid w:val="00C67A9E"/>
    <w:rsid w:val="00C711F2"/>
    <w:rsid w:val="00C764F4"/>
    <w:rsid w:val="00CB7F48"/>
    <w:rsid w:val="00CD2E2E"/>
    <w:rsid w:val="00CE2325"/>
    <w:rsid w:val="00D161DF"/>
    <w:rsid w:val="00D464CA"/>
    <w:rsid w:val="00D5354A"/>
    <w:rsid w:val="00D60CD2"/>
    <w:rsid w:val="00E0639B"/>
    <w:rsid w:val="00E24DAD"/>
    <w:rsid w:val="00E254DC"/>
    <w:rsid w:val="00E26FF5"/>
    <w:rsid w:val="00E41091"/>
    <w:rsid w:val="00E70D66"/>
    <w:rsid w:val="00E91574"/>
    <w:rsid w:val="00EA6D6E"/>
    <w:rsid w:val="00EC7ABF"/>
    <w:rsid w:val="00EE68B9"/>
    <w:rsid w:val="00EF6AAD"/>
    <w:rsid w:val="00F101D8"/>
    <w:rsid w:val="00F10ED4"/>
    <w:rsid w:val="00F11D72"/>
    <w:rsid w:val="00F26418"/>
    <w:rsid w:val="00F353FA"/>
    <w:rsid w:val="00F47868"/>
    <w:rsid w:val="00F77AFE"/>
    <w:rsid w:val="00F96B0A"/>
    <w:rsid w:val="00FB1EA2"/>
    <w:rsid w:val="00FD0605"/>
    <w:rsid w:val="00FD3484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85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8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85D"/>
    <w:rPr>
      <w:rFonts w:eastAsiaTheme="minorEastAsia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5D"/>
    <w:rPr>
      <w:rFonts w:eastAsiaTheme="minorEastAsia" w:cs="Times New Roman"/>
      <w:lang w:eastAsia="ru-RU"/>
    </w:rPr>
  </w:style>
  <w:style w:type="paragraph" w:customStyle="1" w:styleId="ConsPlusNormal">
    <w:name w:val="ConsPlusNormal"/>
    <w:qFormat/>
    <w:rsid w:val="0042185D"/>
    <w:pPr>
      <w:widowControl w:val="0"/>
      <w:spacing w:after="0" w:line="240" w:lineRule="auto"/>
    </w:pPr>
    <w:rPr>
      <w:rFonts w:eastAsiaTheme="minorEastAsia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5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5A109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5A109F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D3840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D3840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List Paragraph"/>
    <w:basedOn w:val="a"/>
    <w:uiPriority w:val="34"/>
    <w:qFormat/>
    <w:rsid w:val="00C764F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3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3A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85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8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85D"/>
    <w:rPr>
      <w:rFonts w:eastAsiaTheme="minorEastAsia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5D"/>
    <w:rPr>
      <w:rFonts w:eastAsiaTheme="minorEastAsia" w:cs="Times New Roman"/>
      <w:lang w:eastAsia="ru-RU"/>
    </w:rPr>
  </w:style>
  <w:style w:type="paragraph" w:customStyle="1" w:styleId="ConsPlusNormal">
    <w:name w:val="ConsPlusNormal"/>
    <w:qFormat/>
    <w:rsid w:val="0042185D"/>
    <w:pPr>
      <w:widowControl w:val="0"/>
      <w:spacing w:after="0" w:line="240" w:lineRule="auto"/>
    </w:pPr>
    <w:rPr>
      <w:rFonts w:eastAsiaTheme="minorEastAsia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5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5A109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5A109F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D3840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D3840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List Paragraph"/>
    <w:basedOn w:val="a"/>
    <w:uiPriority w:val="34"/>
    <w:qFormat/>
    <w:rsid w:val="00C764F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3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3A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0D54-FAD2-4F1C-96AF-7906ABF9A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1C8E6-EB40-4DD0-8378-BE3D476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 Мария Михайловна</dc:creator>
  <cp:lastModifiedBy>user1</cp:lastModifiedBy>
  <cp:revision>3</cp:revision>
  <cp:lastPrinted>2018-03-19T10:44:00Z</cp:lastPrinted>
  <dcterms:created xsi:type="dcterms:W3CDTF">2018-03-20T12:42:00Z</dcterms:created>
  <dcterms:modified xsi:type="dcterms:W3CDTF">2018-03-21T10:11:00Z</dcterms:modified>
</cp:coreProperties>
</file>